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BC9B"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49572842">
      <w:pPr>
        <w:spacing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第35届越南国际贸易博览会暨进东盟（越南）专题展区整体服务项目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报价表</w:t>
      </w:r>
      <w:bookmarkEnd w:id="0"/>
    </w:p>
    <w:p w14:paraId="003B65F9">
      <w:pPr>
        <w:spacing w:before="162" w:beforeLines="50" w:beforeAutospacing="0" w:after="240" w:afterLines="75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展会时间：2026年4月8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11日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662"/>
        <w:gridCol w:w="5917"/>
        <w:gridCol w:w="1789"/>
        <w:gridCol w:w="2750"/>
      </w:tblGrid>
      <w:tr w14:paraId="2A44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tblHeader/>
        </w:trPr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7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20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细项内容（性能参数或技术要求）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4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报价金额</w:t>
            </w:r>
            <w:r>
              <w:rPr>
                <w:rStyle w:val="5"/>
                <w:rFonts w:ascii="宋体" w:hAnsi="宋体" w:eastAsia="仿宋_GB2312" w:cs="宋体"/>
                <w:color w:val="auto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rFonts w:hAnsi="等线"/>
                <w:color w:val="auto"/>
                <w:sz w:val="28"/>
                <w:szCs w:val="28"/>
                <w:lang w:val="en-US" w:eastAsia="zh-CN" w:bidi="ar"/>
              </w:rPr>
              <w:t>（元）</w:t>
            </w:r>
          </w:p>
        </w:tc>
        <w:tc>
          <w:tcPr>
            <w:tcW w:w="9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2E41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6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16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6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A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B2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53CA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D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B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0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4347A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61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36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策划设计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3DFAD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5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（一）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专项活动策划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C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展会整体策划、开馆仪式、专场推介会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宣传服务策划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客商行程及物流服务策划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 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组织商务考察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7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FF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38D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（二）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B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视觉设计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展会主视觉创意、画面延展设计创作、平面设计等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E1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0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77F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E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7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91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472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A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30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6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场地租赁、搭建与设备租赁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2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0194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0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（一）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CC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主会场、子会场租赁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多功能会议室（约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人规模），费用应包含：场地费、一般会议使用的桌椅、签到桌、投影幕布、麦克风等基础设备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6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2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141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（二）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8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特装展位建设费用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特装展位搭建：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平米形象展位整体形象搭建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标准展位变异搭建：专题展区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个标准展位加高美化，包含材料费、安装费、拆运费等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2A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B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459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（三）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背景板制作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9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主题背景板，按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  <w:r>
              <w:rPr>
                <w:rStyle w:val="7"/>
                <w:color w:val="auto"/>
                <w:sz w:val="28"/>
                <w:szCs w:val="28"/>
                <w:lang w:val="en-US" w:eastAsia="zh-CN" w:bidi="ar"/>
              </w:rPr>
              <w:t>㎡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预估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推介会签到处背板、展架、指引牌</w:t>
            </w:r>
            <w:r>
              <w:rPr>
                <w:rStyle w:val="6"/>
                <w:rFonts w:hAnsi="Times New Roman"/>
                <w:color w:val="auto"/>
                <w:spacing w:val="-6"/>
                <w:sz w:val="28"/>
                <w:szCs w:val="28"/>
                <w:lang w:val="en-US" w:eastAsia="zh-CN" w:bidi="ar"/>
              </w:rPr>
              <w:t>等至少</w:t>
            </w:r>
            <w:r>
              <w:rPr>
                <w:rStyle w:val="6"/>
                <w:rFonts w:hint="eastAsia" w:hAnsi="Times New Roman"/>
                <w:color w:val="auto"/>
                <w:spacing w:val="-6"/>
                <w:sz w:val="28"/>
                <w:szCs w:val="28"/>
                <w:lang w:val="en-US" w:eastAsia="zh-CN" w:bidi="ar"/>
              </w:rPr>
              <w:t>1套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4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F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5DE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8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（四）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4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音响设备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E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推介会音响、调音台、播控电脑等设备租赁及接入，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至少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F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4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755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（五）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7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会场周边氛围布置、制作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E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会场外场地的氛围营造布置，包括刀旗、条幅、易拉宝、导视牌等，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至少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4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6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3118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2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BC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F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661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30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9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宣传推广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6A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5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9D8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（一）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F5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宣传片制作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视频素材收集与剪辑制作：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至少1条，时长不少于30秒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E3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D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7E5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（二）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新媒体宣传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运营活动2次以上：线上平台宣传、抖音推广、短视频制作、户外广告、电台宣传、达人合作等方式；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媒体报道及转载8次以上：包括国家级主流媒体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至少1次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、省级媒体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至少1次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及其他网络媒体等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广告投放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（至少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1次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：国外主流媒体宣传预热广告投放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4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2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 w14:paraId="6B8B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D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（三）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1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宣传资料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物料：包括但不限于会议桌卡，工作证，嘉宾证及其他需特殊设计打印资料，如地贴，桌位图等。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12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03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514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5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B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3B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F28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30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6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人员劳务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A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0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C75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48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（一）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采购商邀请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pacing w:val="-6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pacing w:val="-6"/>
                <w:sz w:val="28"/>
                <w:szCs w:val="28"/>
                <w:lang w:val="en-US" w:eastAsia="zh-CN" w:bidi="ar"/>
              </w:rPr>
              <w:t>展会活动采购商邀请：根据参展企业行业特点，邀请越南当地食品饮料、日用消费品、新能源、绿色经济、林木产品、港口建设与物流运输、文化产业服务等行业采购企业到会观展、洽谈对接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5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组织邀请至少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100位采购商到场</w:t>
            </w:r>
          </w:p>
        </w:tc>
      </w:tr>
      <w:tr w14:paraId="7CE3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（二）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翻译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笔译：越南语合同、邀请函、参展手册、展位确认书等翻译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交替传译：越南语交传翻译（推介会、开馆仪式等）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摊位翻译：翻译人员现场协助展商及工作人员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81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笔译按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万字测算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交传按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场活动，共半天测算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摊位翻译按每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个标准展位配备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位摊位翻译人员，展期共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天测算</w:t>
            </w:r>
          </w:p>
        </w:tc>
      </w:tr>
      <w:tr w14:paraId="5003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A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（三）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摄影摄像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展会活动摄影：安排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位专职摄影摄像师，拍摄期按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天测算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7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E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62FE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（四）</w:t>
            </w:r>
          </w:p>
        </w:tc>
        <w:tc>
          <w:tcPr>
            <w:tcW w:w="9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其他劳务</w:t>
            </w: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1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包含现场执行人员、临聘人员、展商团随行翻译等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9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5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eastAsia="zh-CN"/>
              </w:rPr>
              <w:t>现场执行人员不少于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3人、展商团随行翻译至少1人</w:t>
            </w:r>
          </w:p>
        </w:tc>
      </w:tr>
      <w:tr w14:paraId="4096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F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9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国际展品运输、仓储费：展品的陆运、海运或空运的运输费和仓储费用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C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按每个展位运输不超过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立方米的展品，展位共计</w:t>
            </w:r>
            <w:r>
              <w:rPr>
                <w:rFonts w:hint="default" w:ascii="Times New Roman" w:hAnsi="Times New Roman" w:eastAsia="等线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  <w:r>
              <w:rPr>
                <w:rStyle w:val="6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个测算</w:t>
            </w:r>
          </w:p>
        </w:tc>
      </w:tr>
      <w:tr w14:paraId="6C5B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3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A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Style w:val="8"/>
                <w:rFonts w:hAnsi="Times New Roman"/>
                <w:color w:val="auto"/>
                <w:sz w:val="28"/>
                <w:szCs w:val="28"/>
                <w:lang w:val="en-US" w:eastAsia="zh-CN" w:bidi="ar"/>
              </w:rPr>
              <w:t>小计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FC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3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default" w:ascii="Times New Roman" w:hAnsi="Times New Roman" w:eastAsia="等线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30CFDA5B"/>
    <w:sectPr>
      <w:pgSz w:w="16838" w:h="11906" w:orient="landscape"/>
      <w:pgMar w:top="16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A31E5"/>
    <w:rsid w:val="643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5">
    <w:name w:val="font112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6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01"/>
    <w:qFormat/>
    <w:uiPriority w:val="0"/>
    <w:rPr>
      <w:rFonts w:hint="eastAsia" w:ascii="仿宋_GB2312" w:eastAsia="仿宋_GB2312" w:cs="仿宋_GB2312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2026-02-09T09:46:00Z</dcterms:created>
  <dc:creator>蚊子</dc:creator>
  <cp:lastModifiedBy>蚊子</cp:lastModifiedBy>
  <dcterms:modified xsi:type="dcterms:W3CDTF">2026-02-09T09:47:04Z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5E2A0160DEFB415C90CCE6D86DC7F7AE_11</vt:lpwstr>
  </property>
  <property fmtid="{D5CDD505-2E9C-101B-9397-08002B2CF9AE}" pid="4" name="KSOTemplateDocerSaveRecord">
    <vt:lpwstr>eyJoZGlkIjoiOGNkMzk3ODU3OTg4NmI4NTEyNzgyMWNjZGIyM2M1NzYiLCJ1c2VySWQiOiIyOTI0MjY3ODIifQ==</vt:lpwstr>
  </property>
</Properties>
</file>